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C8" w:rsidRPr="00172C98" w:rsidRDefault="006218C8" w:rsidP="00467024">
      <w:pPr>
        <w:pStyle w:val="Style2"/>
        <w:widowControl/>
        <w:spacing w:before="67"/>
        <w:ind w:left="384"/>
        <w:jc w:val="center"/>
        <w:rPr>
          <w:rStyle w:val="FontStyle11"/>
          <w:b/>
        </w:rPr>
      </w:pPr>
      <w:r w:rsidRPr="00172C98">
        <w:rPr>
          <w:rStyle w:val="FontStyle11"/>
          <w:b/>
        </w:rPr>
        <w:t>Целевые значения критериев доступности и качества медицинской помощи, оказываемой в рамках</w:t>
      </w:r>
      <w:bookmarkStart w:id="0" w:name="_GoBack"/>
      <w:bookmarkEnd w:id="0"/>
      <w:r w:rsidRPr="00172C98">
        <w:rPr>
          <w:rStyle w:val="FontStyle11"/>
          <w:b/>
        </w:rPr>
        <w:t xml:space="preserve"> Территориальной программы госгарантий</w:t>
      </w:r>
      <w:r w:rsidR="00467024">
        <w:rPr>
          <w:rStyle w:val="FontStyle11"/>
          <w:b/>
        </w:rPr>
        <w:t xml:space="preserve"> на 2018 год</w:t>
      </w:r>
    </w:p>
    <w:p w:rsidR="006218C8" w:rsidRDefault="006218C8" w:rsidP="006218C8">
      <w:pPr>
        <w:widowControl/>
        <w:spacing w:after="288" w:line="1" w:lineRule="exact"/>
        <w:rPr>
          <w:sz w:val="2"/>
          <w:szCs w:val="2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6"/>
        <w:gridCol w:w="19"/>
        <w:gridCol w:w="14"/>
        <w:gridCol w:w="2001"/>
      </w:tblGrid>
      <w:tr w:rsidR="006218C8" w:rsidTr="00A42543"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  <w:ind w:left="1694" w:right="1699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Наименование критериев доступности и качества медицинской помощи</w:t>
            </w:r>
          </w:p>
        </w:tc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  <w:spacing w:line="312" w:lineRule="exact"/>
              <w:ind w:left="216" w:right="-18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Целевые значения</w:t>
            </w:r>
          </w:p>
        </w:tc>
      </w:tr>
      <w:tr w:rsidR="006218C8" w:rsidTr="00A42543"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  <w:spacing w:line="326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Удовлетворенность населения медицинской помощью, в том числе городского, сельского населения (процентов от числа опрошенных)</w:t>
            </w:r>
          </w:p>
        </w:tc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  <w:spacing w:line="240" w:lineRule="auto"/>
              <w:ind w:left="42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75,0</w:t>
            </w:r>
          </w:p>
        </w:tc>
      </w:tr>
      <w:tr w:rsidR="006218C8" w:rsidTr="00A42543"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 смертность населения от болезней системы кровообращения, в том числе городского, сельского населения (число умерших от болезней системы кровообращения на 100 тыс. человек населения)</w:t>
            </w:r>
          </w:p>
        </w:tc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  <w:spacing w:line="240" w:lineRule="auto"/>
              <w:ind w:left="35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664,0</w:t>
            </w:r>
          </w:p>
        </w:tc>
      </w:tr>
      <w:tr w:rsidR="006218C8" w:rsidTr="00A42543"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смертность населения от злокачественных новообразований, в том числе   </w:t>
            </w:r>
            <w:proofErr w:type="gramStart"/>
            <w:r>
              <w:rPr>
                <w:rStyle w:val="FontStyle11"/>
              </w:rPr>
              <w:t xml:space="preserve">городского,   </w:t>
            </w:r>
            <w:proofErr w:type="gramEnd"/>
            <w:r>
              <w:rPr>
                <w:rStyle w:val="FontStyle11"/>
              </w:rPr>
              <w:t>сельского   населения   (число   умерших от новообразований, в том числе от злокачественных, на 100    тыс. человек населения)</w:t>
            </w:r>
          </w:p>
        </w:tc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  <w:spacing w:line="240" w:lineRule="auto"/>
              <w:ind w:left="374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165,4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смертность    населения    от    </w:t>
            </w:r>
            <w:proofErr w:type="gramStart"/>
            <w:r>
              <w:rPr>
                <w:rStyle w:val="FontStyle11"/>
              </w:rPr>
              <w:t xml:space="preserve">туберкулеза,   </w:t>
            </w:r>
            <w:proofErr w:type="gramEnd"/>
            <w:r>
              <w:rPr>
                <w:rStyle w:val="FontStyle11"/>
              </w:rPr>
              <w:t xml:space="preserve"> в    том    числе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12,7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городского, сельского населения (случаев на 100 тыс. человек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населения)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смертность   населения   в   трудоспособном   возрасте</w:t>
            </w:r>
            <w:proofErr w:type="gramStart"/>
            <w:r>
              <w:rPr>
                <w:rStyle w:val="FontStyle11"/>
              </w:rPr>
              <w:t xml:space="preserve">   (</w:t>
            </w:r>
            <w:proofErr w:type="gramEnd"/>
            <w:r>
              <w:rPr>
                <w:rStyle w:val="FontStyle11"/>
              </w:rPr>
              <w:t>число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621,9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умерших </w:t>
            </w:r>
            <w:proofErr w:type="gramStart"/>
            <w:r>
              <w:rPr>
                <w:rStyle w:val="FontStyle11"/>
              </w:rPr>
              <w:t>в  трудоспособном</w:t>
            </w:r>
            <w:proofErr w:type="gramEnd"/>
            <w:r>
              <w:rPr>
                <w:rStyle w:val="FontStyle11"/>
              </w:rPr>
              <w:t xml:space="preserve"> возрасте на  100  тыс.  человек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населения)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смертность населения трудоспособного возраста от болезней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169,0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системы кровообращения (число умерших от болезней системы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кровообращения в трудоспособном возрасте на 100 тыс.   человек населения)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материнская смертность (на 100 тыс. родившихся живыми)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18,0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младенческая смертность (на 1000 родившихся живыми, в том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8,3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числе в городской и сельской местности)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доля умерших в возрасте до 1 года на дому в общем количестве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17,5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умерших в возрасте до 1 года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смертность детей в возрасте </w:t>
            </w:r>
            <w:r>
              <w:rPr>
                <w:rStyle w:val="FontStyle11"/>
                <w:spacing w:val="150"/>
              </w:rPr>
              <w:t>0-4</w:t>
            </w:r>
            <w:r>
              <w:rPr>
                <w:rStyle w:val="FontStyle11"/>
              </w:rPr>
              <w:t xml:space="preserve"> лет (на 100 тыс. человек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215,0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населения соответствующего возраста)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доля умерших в возрасте </w:t>
            </w:r>
            <w:r>
              <w:rPr>
                <w:rStyle w:val="FontStyle11"/>
                <w:spacing w:val="90"/>
              </w:rPr>
              <w:t>0-4</w:t>
            </w:r>
            <w:r>
              <w:rPr>
                <w:rStyle w:val="FontStyle11"/>
              </w:rPr>
              <w:t xml:space="preserve"> лет на дому в общем количестве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19,3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умерших в возрасте </w:t>
            </w:r>
            <w:r>
              <w:rPr>
                <w:rStyle w:val="FontStyle11"/>
                <w:spacing w:val="50"/>
              </w:rPr>
              <w:t>0-4</w:t>
            </w:r>
            <w:r>
              <w:rPr>
                <w:rStyle w:val="FontStyle11"/>
              </w:rPr>
              <w:t xml:space="preserve"> лет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смертность детей в возрасте </w:t>
            </w:r>
            <w:r>
              <w:rPr>
                <w:rStyle w:val="FontStyle11"/>
                <w:spacing w:val="90"/>
              </w:rPr>
              <w:t>0-17</w:t>
            </w:r>
            <w:r>
              <w:rPr>
                <w:rStyle w:val="FontStyle11"/>
              </w:rPr>
              <w:t xml:space="preserve"> лет (на 100 тыс. человек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79,0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населения соответствующего возраста)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доля умерших в возрасте </w:t>
            </w:r>
            <w:r>
              <w:rPr>
                <w:rStyle w:val="FontStyle11"/>
                <w:spacing w:val="50"/>
              </w:rPr>
              <w:t>0-17</w:t>
            </w:r>
            <w:r>
              <w:rPr>
                <w:rStyle w:val="FontStyle11"/>
              </w:rPr>
              <w:t xml:space="preserve"> лет на дому в общем количестве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29,3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умерших в возрасте </w:t>
            </w:r>
            <w:r>
              <w:rPr>
                <w:rStyle w:val="FontStyle11"/>
                <w:spacing w:val="50"/>
              </w:rPr>
              <w:t>0-17</w:t>
            </w:r>
            <w:r>
              <w:rPr>
                <w:rStyle w:val="FontStyle11"/>
              </w:rPr>
              <w:t xml:space="preserve"> лет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доля   пациентов   со   злокачественными   новообразованиями,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55,9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состоящих на учете с момента установления диагноза 5 лет и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 xml:space="preserve">более,   </w:t>
            </w:r>
            <w:proofErr w:type="gramEnd"/>
            <w:r>
              <w:rPr>
                <w:rStyle w:val="FontStyle11"/>
              </w:rPr>
              <w:t>в   общем   числе   пациентов   со   злокачественными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новообразованиями, состоящих на учете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обеспеченность   населения   врачами</w:t>
            </w:r>
            <w:proofErr w:type="gramStart"/>
            <w:r>
              <w:rPr>
                <w:rStyle w:val="FontStyle11"/>
              </w:rPr>
              <w:t xml:space="preserve">   (</w:t>
            </w:r>
            <w:proofErr w:type="gramEnd"/>
            <w:r>
              <w:rPr>
                <w:rStyle w:val="FontStyle11"/>
              </w:rPr>
              <w:t>на 10   тыс. человек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  <w:r>
              <w:rPr>
                <w:rStyle w:val="FontStyle11"/>
              </w:rPr>
              <w:t xml:space="preserve">          41,3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населения):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2"/>
              <w:widowControl/>
              <w:spacing w:line="240" w:lineRule="auto"/>
              <w:ind w:left="614"/>
              <w:jc w:val="left"/>
              <w:rPr>
                <w:rStyle w:val="FontStyle1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2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2"/>
              <w:widowControl/>
              <w:spacing w:line="240" w:lineRule="auto"/>
              <w:ind w:left="614"/>
              <w:jc w:val="left"/>
              <w:rPr>
                <w:rStyle w:val="FontStyle1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rPr>
                <w:rStyle w:val="FontStyle11"/>
              </w:rPr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 том числе оказывающими медицинскую помощь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 амбулаторных,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25,4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 стационарных условиях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15,0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обеспеченность населения средним медицинским персоналом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  <w:r>
              <w:rPr>
                <w:rStyle w:val="FontStyle11"/>
              </w:rPr>
              <w:t xml:space="preserve">           91,7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(на 10 тыс. человек населения):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A42543">
            <w:pPr>
              <w:pStyle w:val="Style3"/>
              <w:widowControl/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 том числе оказывающим медицинскую помощь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 амбулаторных условиях,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51,64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 стационарных условиях</w:t>
            </w: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3"/>
              <w:widowControl/>
            </w:pPr>
            <w:r>
              <w:t xml:space="preserve">         </w:t>
            </w:r>
            <w:r>
              <w:rPr>
                <w:rStyle w:val="FontStyle11"/>
              </w:rPr>
              <w:t>44,5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</w:tr>
      <w:tr w:rsidR="006218C8" w:rsidTr="006218C8">
        <w:trPr>
          <w:trHeight w:val="68"/>
        </w:trPr>
        <w:tc>
          <w:tcPr>
            <w:tcW w:w="8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right"/>
              <w:rPr>
                <w:rStyle w:val="FontStyle11"/>
              </w:rPr>
            </w:pP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ind w:firstLine="29"/>
              <w:rPr>
                <w:rStyle w:val="FontStyle11"/>
              </w:rPr>
            </w:pPr>
            <w:r>
              <w:rPr>
                <w:rStyle w:val="FontStyle11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Удмуртской Республике)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11,6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 xml:space="preserve"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 - </w:t>
            </w:r>
            <w:proofErr w:type="spellStart"/>
            <w:r>
              <w:rPr>
                <w:rStyle w:val="FontStyle11"/>
              </w:rPr>
              <w:t>Кв</w:t>
            </w:r>
            <w:proofErr w:type="spellEnd"/>
            <w:r>
              <w:rPr>
                <w:rStyle w:val="FontStyle11"/>
              </w:rPr>
              <w:t>, показателей рационального и целевого использования коечного фонда - Кг)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    1,0 (0,9-0,1)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8,0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госгарантий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2,4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326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доля охвата профилактическими медицинскими осмотрами детей, в том числе городских и сельских жителей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95,0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0,007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230,8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  21,0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ind w:left="24" w:hanging="24"/>
              <w:rPr>
                <w:rStyle w:val="FontStyle11"/>
              </w:rPr>
            </w:pPr>
            <w:r>
              <w:rPr>
                <w:rStyle w:val="FontStyle11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 49,0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317" w:lineRule="exact"/>
              <w:ind w:left="29" w:hanging="29"/>
              <w:rPr>
                <w:rStyle w:val="FontStyle11"/>
              </w:rPr>
            </w:pPr>
            <w:r>
              <w:rPr>
                <w:rStyle w:val="FontStyle11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FontStyle11"/>
              </w:rPr>
              <w:t>тромболитическая</w:t>
            </w:r>
            <w:proofErr w:type="spellEnd"/>
            <w:r>
              <w:rPr>
                <w:rStyle w:val="FontStyle11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  18,0</w:t>
            </w:r>
          </w:p>
        </w:tc>
      </w:tr>
      <w:tr w:rsidR="006218C8" w:rsidTr="00A42543"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ind w:left="29" w:hanging="29"/>
              <w:rPr>
                <w:rStyle w:val="FontStyle11"/>
              </w:rPr>
            </w:pPr>
            <w:r>
              <w:rPr>
                <w:rStyle w:val="FontStyle11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FontStyle11"/>
              </w:rPr>
              <w:t>стентирование</w:t>
            </w:r>
            <w:proofErr w:type="spellEnd"/>
            <w:r>
              <w:rPr>
                <w:rStyle w:val="FontStyle11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   20,0</w:t>
            </w:r>
          </w:p>
        </w:tc>
      </w:tr>
      <w:tr w:rsidR="006218C8" w:rsidTr="00A42543"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317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rStyle w:val="FontStyle11"/>
              </w:rPr>
              <w:t>тромболизис</w:t>
            </w:r>
            <w:proofErr w:type="spellEnd"/>
            <w:r>
              <w:rPr>
                <w:rStyle w:val="FontStyle11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 7,0</w:t>
            </w:r>
          </w:p>
        </w:tc>
      </w:tr>
      <w:tr w:rsidR="006218C8" w:rsidTr="00A42543"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317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29,0</w:t>
            </w:r>
          </w:p>
        </w:tc>
      </w:tr>
      <w:tr w:rsidR="006218C8" w:rsidTr="00A42543"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317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FontStyle11"/>
              </w:rPr>
              <w:t>тромболитическая</w:t>
            </w:r>
            <w:proofErr w:type="spellEnd"/>
            <w:r>
              <w:rPr>
                <w:rStyle w:val="FontStyle11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 5,0</w:t>
            </w:r>
          </w:p>
        </w:tc>
      </w:tr>
      <w:tr w:rsidR="006218C8" w:rsidTr="00A42543"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317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3"/>
              <w:widowControl/>
              <w:ind w:left="446" w:hanging="29"/>
              <w:rPr>
                <w:rStyle w:val="FontStyle11"/>
              </w:rPr>
            </w:pPr>
            <w:r>
              <w:rPr>
                <w:rStyle w:val="FontStyle11"/>
              </w:rPr>
              <w:t>0,09 - 0,01</w:t>
            </w:r>
          </w:p>
        </w:tc>
      </w:tr>
      <w:tr w:rsidR="006218C8" w:rsidTr="00A42543"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42,8</w:t>
            </w:r>
          </w:p>
        </w:tc>
      </w:tr>
      <w:tr w:rsidR="006218C8" w:rsidTr="00A42543"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317" w:lineRule="exact"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55,8</w:t>
            </w:r>
          </w:p>
        </w:tc>
      </w:tr>
      <w:tr w:rsidR="006218C8" w:rsidTr="00A42543"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317" w:lineRule="exact"/>
              <w:ind w:left="24" w:hanging="24"/>
              <w:rPr>
                <w:rStyle w:val="FontStyle11"/>
              </w:rPr>
            </w:pPr>
            <w:r>
              <w:rPr>
                <w:rStyle w:val="FontStyle11"/>
              </w:rPr>
              <w:t>доля умерших в трудоспособном возрасте на дому в общем количестве умерших на дому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19,1</w:t>
            </w:r>
          </w:p>
        </w:tc>
      </w:tr>
      <w:tr w:rsidR="006218C8" w:rsidTr="00A42543"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ind w:left="29" w:hanging="29"/>
              <w:rPr>
                <w:rStyle w:val="FontStyle11"/>
              </w:rPr>
            </w:pPr>
            <w:r>
              <w:rPr>
                <w:rStyle w:val="FontStyle11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C8" w:rsidRDefault="006218C8" w:rsidP="006218C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   4,0</w:t>
            </w:r>
          </w:p>
        </w:tc>
      </w:tr>
    </w:tbl>
    <w:p w:rsidR="006218C8" w:rsidRDefault="006218C8" w:rsidP="006218C8"/>
    <w:p w:rsidR="006218C8" w:rsidRDefault="006218C8" w:rsidP="006218C8"/>
    <w:p w:rsidR="006218C8" w:rsidRDefault="006218C8" w:rsidP="006218C8"/>
    <w:p w:rsidR="006218C8" w:rsidRDefault="006218C8" w:rsidP="006218C8"/>
    <w:p w:rsidR="00080B3D" w:rsidRDefault="00080B3D"/>
    <w:sectPr w:rsidR="00080B3D" w:rsidSect="0062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6"/>
    <w:rsid w:val="00080B3D"/>
    <w:rsid w:val="00467024"/>
    <w:rsid w:val="006218C8"/>
    <w:rsid w:val="00C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4DFF-67F9-4442-8438-A8A91A9F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218C8"/>
    <w:pPr>
      <w:spacing w:line="322" w:lineRule="exact"/>
      <w:ind w:firstLine="485"/>
      <w:jc w:val="both"/>
    </w:pPr>
  </w:style>
  <w:style w:type="character" w:customStyle="1" w:styleId="FontStyle11">
    <w:name w:val="Font Style11"/>
    <w:basedOn w:val="a0"/>
    <w:uiPriority w:val="99"/>
    <w:rsid w:val="006218C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218C8"/>
    <w:pPr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5104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3</cp:revision>
  <dcterms:created xsi:type="dcterms:W3CDTF">2016-03-17T12:24:00Z</dcterms:created>
  <dcterms:modified xsi:type="dcterms:W3CDTF">2018-07-04T13:35:00Z</dcterms:modified>
</cp:coreProperties>
</file>